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spacing w:line="480" w:lineRule="auto"/>
        <w:jc w:val="both"/>
        <w:rPr>
          <w:rFonts w:ascii="Times New Roman" w:cs="Times New Roman" w:hAnsi="Times New Roman" w:eastAsia="Times New Roman"/>
          <w:sz w:val="24"/>
          <w:szCs w:val="24"/>
          <w:shd w:val="clear" w:color="auto" w:fill="ffffff"/>
        </w:rPr>
      </w:pPr>
    </w:p>
    <w:p>
      <w:pPr>
        <w:pStyle w:val="Body A"/>
        <w:spacing w:line="480" w:lineRule="auto"/>
        <w:jc w:val="both"/>
        <w:rPr>
          <w:rFonts w:ascii="Times New Roman" w:cs="Times New Roman" w:hAnsi="Times New Roman" w:eastAsia="Times New Roman"/>
          <w:sz w:val="24"/>
          <w:szCs w:val="24"/>
          <w:shd w:val="clear" w:color="auto" w:fill="ffffff"/>
        </w:rPr>
      </w:pPr>
    </w:p>
    <w:p>
      <w:pPr>
        <w:pStyle w:val="Body A"/>
        <w:spacing w:line="480" w:lineRule="auto"/>
        <w:jc w:val="both"/>
        <w:rPr>
          <w:rFonts w:ascii="Times New Roman" w:cs="Times New Roman" w:hAnsi="Times New Roman" w:eastAsia="Times New Roman"/>
          <w:sz w:val="24"/>
          <w:szCs w:val="24"/>
          <w:shd w:val="clear" w:color="auto" w:fill="ffffff"/>
        </w:rPr>
      </w:pPr>
    </w:p>
    <w:p>
      <w:pPr>
        <w:pStyle w:val="Body A"/>
        <w:spacing w:line="480" w:lineRule="auto"/>
        <w:jc w:val="both"/>
        <w:rPr>
          <w:rFonts w:ascii="Times New Roman" w:cs="Times New Roman" w:hAnsi="Times New Roman" w:eastAsia="Times New Roman"/>
          <w:sz w:val="24"/>
          <w:szCs w:val="24"/>
          <w:shd w:val="clear" w:color="auto" w:fill="ffffff"/>
        </w:rPr>
      </w:pPr>
    </w:p>
    <w:p>
      <w:pPr>
        <w:pStyle w:val="Body A"/>
        <w:spacing w:line="480" w:lineRule="auto"/>
        <w:jc w:val="both"/>
        <w:rPr>
          <w:rFonts w:ascii="Times New Roman" w:cs="Times New Roman" w:hAnsi="Times New Roman" w:eastAsia="Times New Roman"/>
          <w:sz w:val="24"/>
          <w:szCs w:val="24"/>
          <w:shd w:val="clear" w:color="auto" w:fill="ffffff"/>
        </w:rPr>
      </w:pPr>
    </w:p>
    <w:p>
      <w:pPr>
        <w:pStyle w:val="Body A"/>
        <w:spacing w:line="480" w:lineRule="auto"/>
        <w:jc w:val="both"/>
        <w:rPr>
          <w:rFonts w:ascii="Times New Roman" w:cs="Times New Roman" w:hAnsi="Times New Roman" w:eastAsia="Times New Roman"/>
          <w:sz w:val="24"/>
          <w:szCs w:val="24"/>
          <w:shd w:val="clear" w:color="auto" w:fill="ffffff"/>
        </w:rPr>
      </w:pPr>
    </w:p>
    <w:p>
      <w:pPr>
        <w:pStyle w:val="Body A"/>
        <w:spacing w:line="480" w:lineRule="auto"/>
        <w:jc w:val="both"/>
        <w:rPr>
          <w:rFonts w:ascii="Times New Roman" w:cs="Times New Roman" w:hAnsi="Times New Roman" w:eastAsia="Times New Roman"/>
          <w:sz w:val="24"/>
          <w:szCs w:val="24"/>
          <w:shd w:val="clear" w:color="auto" w:fill="ffffff"/>
        </w:rPr>
      </w:pPr>
    </w:p>
    <w:p>
      <w:pPr>
        <w:pStyle w:val="Body A"/>
        <w:spacing w:line="480" w:lineRule="auto"/>
        <w:jc w:val="center"/>
        <w:rPr>
          <w:rFonts w:ascii="Times New Roman" w:cs="Times New Roman" w:hAnsi="Times New Roman" w:eastAsia="Times New Roman"/>
          <w:color w:val="222222"/>
          <w:u w:color="222222"/>
          <w:shd w:val="clear" w:color="auto" w:fill="ffffff"/>
        </w:rPr>
      </w:pPr>
      <w:r>
        <w:rPr>
          <w:rFonts w:ascii="Times New Roman" w:hAnsi="Times New Roman"/>
          <w:color w:val="222222"/>
          <w:u w:color="222222"/>
          <w:shd w:val="clear" w:color="auto" w:fill="ffffff"/>
          <w:rtl w:val="0"/>
          <w:lang w:val="en-US"/>
        </w:rPr>
        <w:t>Creativity in education</w:t>
      </w:r>
    </w:p>
    <w:p>
      <w:pPr>
        <w:pStyle w:val="Body A"/>
        <w:spacing w:line="480" w:lineRule="auto"/>
        <w:jc w:val="center"/>
        <w:rPr>
          <w:rFonts w:ascii="Times New Roman" w:cs="Times New Roman" w:hAnsi="Times New Roman" w:eastAsia="Times New Roman"/>
          <w:sz w:val="24"/>
          <w:szCs w:val="24"/>
          <w:shd w:val="clear" w:color="auto" w:fill="ffffff"/>
        </w:rPr>
      </w:pPr>
      <w:r>
        <w:rPr>
          <w:rFonts w:ascii="Times New Roman" w:hAnsi="Times New Roman"/>
          <w:color w:val="222222"/>
          <w:sz w:val="24"/>
          <w:szCs w:val="24"/>
          <w:u w:color="222222"/>
          <w:shd w:val="clear" w:color="auto" w:fill="ffffff"/>
          <w:rtl w:val="0"/>
          <w:lang w:val="en-US"/>
        </w:rPr>
        <w:t>Aljazi Alajmi</w:t>
      </w:r>
    </w:p>
    <w:p>
      <w:pPr>
        <w:pStyle w:val="Body A"/>
        <w:spacing w:line="480" w:lineRule="auto"/>
        <w:jc w:val="center"/>
        <w:rPr>
          <w:rFonts w:ascii="Times New Roman" w:cs="Times New Roman" w:hAnsi="Times New Roman" w:eastAsia="Times New Roman"/>
          <w:sz w:val="24"/>
          <w:szCs w:val="24"/>
          <w:shd w:val="clear" w:color="auto" w:fill="ffffff"/>
        </w:rPr>
      </w:pPr>
      <w:r>
        <w:rPr>
          <w:rFonts w:ascii="Times New Roman" w:hAnsi="Times New Roman"/>
          <w:sz w:val="24"/>
          <w:szCs w:val="24"/>
          <w:shd w:val="clear" w:color="auto" w:fill="ffffff"/>
          <w:rtl w:val="0"/>
          <w:lang w:val="en-US"/>
        </w:rPr>
        <w:t xml:space="preserve">Wright State University </w:t>
      </w:r>
    </w:p>
    <w:p>
      <w:pPr>
        <w:pStyle w:val="Body A"/>
        <w:spacing w:line="480" w:lineRule="auto"/>
      </w:pPr>
      <w:r>
        <w:rPr>
          <w:rFonts w:ascii="Arial Unicode MS" w:cs="Arial Unicode MS" w:hAnsi="Arial Unicode MS" w:eastAsia="Arial Unicode MS"/>
          <w:b w:val="0"/>
          <w:bCs w:val="0"/>
          <w:i w:val="0"/>
          <w:iCs w:val="0"/>
          <w:sz w:val="24"/>
          <w:szCs w:val="24"/>
        </w:rPr>
        <w:br w:type="page"/>
      </w:r>
    </w:p>
    <w:p>
      <w:pPr>
        <w:pStyle w:val="Body A A"/>
        <w:spacing w:line="480" w:lineRule="auto"/>
        <w:rPr>
          <w:rFonts w:ascii="Times New Roman" w:cs="Times New Roman" w:hAnsi="Times New Roman" w:eastAsia="Times New Roman"/>
        </w:rPr>
      </w:pPr>
      <w:r>
        <w:rPr>
          <w:rFonts w:ascii="Arial Unicode MS" w:cs="Arial Unicode MS" w:hAnsi="Arial Unicode MS" w:eastAsia="Arial Unicode MS"/>
        </w:rPr>
        <w:tab/>
      </w:r>
    </w:p>
    <w:p>
      <w:pPr>
        <w:pStyle w:val="Body A"/>
        <w:spacing w:line="480" w:lineRule="auto"/>
        <w:rPr>
          <w:rFonts w:ascii="Times New Roman" w:cs="Times New Roman" w:hAnsi="Times New Roman" w:eastAsia="Times New Roman"/>
          <w:sz w:val="24"/>
          <w:szCs w:val="24"/>
        </w:rPr>
      </w:pPr>
      <w:r>
        <w:tab/>
      </w:r>
      <w:r>
        <w:rPr>
          <w:rFonts w:ascii="Times New Roman" w:hAnsi="Times New Roman"/>
          <w:sz w:val="24"/>
          <w:szCs w:val="24"/>
          <w:rtl w:val="0"/>
          <w:lang w:val="en-US"/>
        </w:rPr>
        <w:t xml:space="preserve"> Creative in education is when students and teachers are able to use innovation and critical thinking to create new ideas and opinions by themselves or when the students are able to thinking outside the box. Also, Creativity in education is an important factor in education field to improve students level because if the students are capable to create new ideas they will become active members in their societies. Because of creative work will be reflected on the growth</w:t>
      </w:r>
      <w:r>
        <w:rPr>
          <w:rFonts w:ascii="Times New Roman" w:hAnsi="Times New Roman" w:hint="default"/>
          <w:sz w:val="24"/>
          <w:szCs w:val="24"/>
          <w:rtl w:val="0"/>
          <w:lang w:val="en-US"/>
        </w:rPr>
        <w:t>’</w:t>
      </w:r>
      <w:r>
        <w:rPr>
          <w:rFonts w:ascii="Times New Roman" w:hAnsi="Times New Roman"/>
          <w:sz w:val="24"/>
          <w:szCs w:val="24"/>
          <w:rtl w:val="0"/>
          <w:lang w:val="en-US"/>
        </w:rPr>
        <w:t>s community. However, teacher and  family should cooperate together to improve a student. For example, family should discover a child</w:t>
      </w:r>
      <w:r>
        <w:rPr>
          <w:rFonts w:ascii="Times New Roman" w:hAnsi="Times New Roman" w:hint="default"/>
          <w:sz w:val="24"/>
          <w:szCs w:val="24"/>
          <w:rtl w:val="0"/>
          <w:lang w:val="en-US"/>
        </w:rPr>
        <w:t>’</w:t>
      </w:r>
      <w:r>
        <w:rPr>
          <w:rFonts w:ascii="Times New Roman" w:hAnsi="Times New Roman"/>
          <w:sz w:val="24"/>
          <w:szCs w:val="24"/>
          <w:rtl w:val="0"/>
          <w:lang w:val="en-US"/>
        </w:rPr>
        <w:t xml:space="preserve">s talent or what is the thing that the child  loves and crates in it. For instance, some children have tendencies to math and some of them to art </w:t>
      </w:r>
      <w:r>
        <w:rPr>
          <w:rFonts w:ascii="Times New Roman" w:hAnsi="Times New Roman" w:hint="default"/>
          <w:sz w:val="24"/>
          <w:szCs w:val="24"/>
          <w:rtl w:val="0"/>
          <w:lang w:val="en-US"/>
        </w:rPr>
        <w:t>…</w:t>
      </w:r>
      <w:r>
        <w:rPr>
          <w:rFonts w:ascii="Times New Roman" w:hAnsi="Times New Roman"/>
          <w:sz w:val="24"/>
          <w:szCs w:val="24"/>
          <w:rtl w:val="0"/>
          <w:lang w:val="en-US"/>
        </w:rPr>
        <w:t xml:space="preserve">.etc. As well, teacher should increase this talent by encourage and motivate them to increase their talents. According to  Khah &amp; Alborzi ( 2016)  approach to creativity directly and through the internal nucleus is a positive indictor of creativity for children. In addition, creative in education field requires  standard and specifications must be available in a teacher, how a teacher can be creative in the class room and advantages and disadvantages on the student. </w:t>
      </w:r>
    </w:p>
    <w:p>
      <w:pPr>
        <w:pStyle w:val="Body A"/>
        <w:spacing w:line="480" w:lineRule="auto"/>
      </w:pPr>
      <w:r>
        <w:rPr>
          <w:rFonts w:ascii="Times New Roman" w:cs="Times New Roman" w:hAnsi="Times New Roman" w:eastAsia="Times New Roman"/>
          <w:sz w:val="24"/>
          <w:szCs w:val="24"/>
          <w:rtl w:val="0"/>
        </w:rPr>
        <w:tab/>
        <w:t xml:space="preserve">The teacher has significant role in the educational process. Also, teacher has the mist impact amount staff of the school due to spent longest time with students. however, there are standards and specifications must be available in a good teacher. First, teacher must evaluate the subject plan and change whether everything wrong and presented to the students in simplified and easy way. For example,  when a teacher read the material very well  should use  illustrate maps, movie or even show them cartoon or image. Second, enthusiasm is required during the teacher explain his subject such as using gestures or signals to  when he describe something. Third,  teacher should take training courses to become able to help student in their studies. Hodges ( 2005) said, the teacher  who takes  training courses will have the ability to creativity writing in the future as a student.   </w:t>
      </w:r>
      <w:r>
        <w:rPr>
          <w:rFonts w:ascii="Arial Unicode MS" w:cs="Arial Unicode MS" w:hAnsi="Arial Unicode MS" w:eastAsia="Arial Unicode MS"/>
          <w:b w:val="0"/>
          <w:bCs w:val="0"/>
          <w:i w:val="0"/>
          <w:iCs w:val="0"/>
          <w:sz w:val="24"/>
          <w:szCs w:val="24"/>
        </w:rPr>
        <w:br w:type="page"/>
      </w:r>
    </w:p>
    <w:p>
      <w:pPr>
        <w:pStyle w:val="Body A"/>
        <w:spacing w:line="480" w:lineRule="auto"/>
        <w:jc w:val="center"/>
        <w:rPr>
          <w:rFonts w:ascii="Times New Roman" w:cs="Times New Roman" w:hAnsi="Times New Roman" w:eastAsia="Times New Roman"/>
          <w:sz w:val="24"/>
          <w:szCs w:val="24"/>
          <w:lang w:val="fr-FR"/>
        </w:rPr>
      </w:pPr>
      <w:r>
        <w:rPr>
          <w:rFonts w:ascii="Times New Roman" w:hAnsi="Times New Roman"/>
          <w:sz w:val="24"/>
          <w:szCs w:val="24"/>
          <w:rtl w:val="0"/>
          <w:lang w:val="fr-FR"/>
        </w:rPr>
        <w:t>References</w:t>
      </w:r>
    </w:p>
    <w:p>
      <w:pPr>
        <w:pStyle w:val="Body A"/>
        <w:spacing w:line="480" w:lineRule="auto"/>
        <w:jc w:val="center"/>
        <w:rPr>
          <w:rFonts w:ascii="Times New Roman" w:cs="Times New Roman" w:hAnsi="Times New Roman" w:eastAsia="Times New Roman"/>
          <w:sz w:val="24"/>
          <w:szCs w:val="24"/>
          <w:lang w:val="fr-FR"/>
        </w:rPr>
      </w:pPr>
      <w:r>
        <w:rPr>
          <w:rFonts w:ascii="Times New Roman" w:hAnsi="Times New Roman"/>
          <w:sz w:val="24"/>
          <w:szCs w:val="24"/>
          <w:rtl w:val="0"/>
          <w:lang w:val="fr-FR"/>
        </w:rPr>
        <w:t>Michek, S., Nov</w:t>
      </w:r>
      <w:r>
        <w:rPr>
          <w:rFonts w:ascii="Times New Roman" w:hAnsi="Times New Roman" w:hint="default"/>
          <w:sz w:val="24"/>
          <w:szCs w:val="24"/>
          <w:rtl w:val="0"/>
          <w:lang w:val="fr-FR"/>
        </w:rPr>
        <w:t>á</w:t>
      </w:r>
      <w:r>
        <w:rPr>
          <w:rFonts w:ascii="Times New Roman" w:hAnsi="Times New Roman"/>
          <w:sz w:val="24"/>
          <w:szCs w:val="24"/>
          <w:rtl w:val="0"/>
          <w:lang w:val="fr-FR"/>
        </w:rPr>
        <w:t>kov</w:t>
      </w:r>
      <w:r>
        <w:rPr>
          <w:rFonts w:ascii="Times New Roman" w:hAnsi="Times New Roman" w:hint="default"/>
          <w:sz w:val="24"/>
          <w:szCs w:val="24"/>
          <w:rtl w:val="0"/>
          <w:lang w:val="fr-FR"/>
        </w:rPr>
        <w:t>á</w:t>
      </w:r>
      <w:r>
        <w:rPr>
          <w:rFonts w:ascii="Times New Roman" w:hAnsi="Times New Roman"/>
          <w:sz w:val="24"/>
          <w:szCs w:val="24"/>
          <w:rtl w:val="0"/>
          <w:lang w:val="fr-FR"/>
        </w:rPr>
        <w:t>,Z.,&amp; Menclov</w:t>
      </w:r>
      <w:r>
        <w:rPr>
          <w:rFonts w:ascii="Times New Roman" w:hAnsi="Times New Roman" w:hint="default"/>
          <w:sz w:val="24"/>
          <w:szCs w:val="24"/>
          <w:rtl w:val="0"/>
          <w:lang w:val="fr-FR"/>
        </w:rPr>
        <w:t>á</w:t>
      </w:r>
      <w:r>
        <w:rPr>
          <w:rFonts w:ascii="Times New Roman" w:hAnsi="Times New Roman"/>
          <w:sz w:val="24"/>
          <w:szCs w:val="24"/>
          <w:rtl w:val="0"/>
          <w:lang w:val="fr-FR"/>
        </w:rPr>
        <w:t xml:space="preserve">, L. (2015). Advantages and Disadvantages of Forest </w:t>
        <w:tab/>
        <w:t xml:space="preserve">Kindergarten in Czeh Republic. Procedia </w:t>
      </w:r>
      <w:r>
        <w:rPr>
          <w:rFonts w:ascii="Times New Roman" w:hAnsi="Times New Roman" w:hint="default"/>
          <w:sz w:val="24"/>
          <w:szCs w:val="24"/>
          <w:rtl w:val="0"/>
          <w:lang w:val="fr-FR"/>
        </w:rPr>
        <w:t>–</w:t>
      </w:r>
      <w:r>
        <w:rPr>
          <w:rFonts w:ascii="Times New Roman" w:hAnsi="Times New Roman"/>
          <w:i w:val="1"/>
          <w:iCs w:val="1"/>
          <w:sz w:val="24"/>
          <w:szCs w:val="24"/>
          <w:rtl w:val="0"/>
          <w:lang w:val="fr-FR"/>
        </w:rPr>
        <w:t>Social and Behavioral Sciences</w:t>
      </w:r>
      <w:r>
        <w:rPr>
          <w:rFonts w:ascii="Times New Roman" w:hAnsi="Times New Roman"/>
          <w:sz w:val="24"/>
          <w:szCs w:val="24"/>
          <w:rtl w:val="0"/>
          <w:lang w:val="fr-FR"/>
        </w:rPr>
        <w:t>,738_477</w:t>
      </w:r>
      <w:r>
        <w:rPr>
          <w:rFonts w:ascii="Times New Roman" w:hAnsi="Times New Roman"/>
          <w:sz w:val="24"/>
          <w:szCs w:val="24"/>
          <w:rtl w:val="0"/>
          <w:lang w:val="fr-FR"/>
        </w:rPr>
        <w:t xml:space="preserve"> </w:t>
      </w:r>
      <w:r>
        <w:rPr>
          <w:rFonts w:ascii="Times New Roman" w:hAnsi="Times New Roman"/>
          <w:sz w:val="24"/>
          <w:szCs w:val="24"/>
          <w:rtl w:val="0"/>
          <w:lang w:val="fr-FR"/>
        </w:rPr>
        <w:t>http://ezproxy.libraries.wright.edu/login?url=https://search.ebscohost.com/login.aspx?direct=true&amp;db=edselp&amp;AN=S1877042815002165&amp;site=eds-live</w:t>
      </w:r>
    </w:p>
    <w:p>
      <w:pPr>
        <w:pStyle w:val="Default"/>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 xml:space="preserve"> Khah, V. M., &amp; Alborzi, M. (2016). The relationship between learning atmosphere and social creativity in primary school boy students</w:t>
      </w:r>
      <w:r>
        <w:rPr>
          <w:rFonts w:ascii="Times New Roman" w:hAnsi="Times New Roman"/>
          <w:i w:val="1"/>
          <w:iCs w:val="1"/>
          <w:sz w:val="24"/>
          <w:szCs w:val="24"/>
          <w:rtl w:val="0"/>
          <w:lang w:val="en-US"/>
        </w:rPr>
        <w:t>. International Journal of Medical Researching Health Sciences, 5</w:t>
      </w:r>
      <w:r>
        <w:rPr>
          <w:rFonts w:ascii="Times New Roman" w:hAnsi="Times New Roman"/>
          <w:sz w:val="24"/>
          <w:szCs w:val="24"/>
          <w:rtl w:val="0"/>
          <w:lang w:val="en-US"/>
        </w:rPr>
        <w:t>(11</w:t>
      </w:r>
      <w:r>
        <w:rPr>
          <w:rFonts w:ascii="Times New Roman" w:hAnsi="Times New Roman"/>
          <w:i w:val="1"/>
          <w:iCs w:val="1"/>
          <w:sz w:val="24"/>
          <w:szCs w:val="24"/>
          <w:rtl w:val="0"/>
          <w:lang w:val="en-US"/>
        </w:rPr>
        <w:t xml:space="preserve">) </w:t>
      </w:r>
      <w:r>
        <w:rPr>
          <w:rFonts w:ascii="Times New Roman" w:hAnsi="Times New Roman"/>
          <w:sz w:val="24"/>
          <w:szCs w:val="24"/>
          <w:rtl w:val="0"/>
          <w:lang w:val="it-IT"/>
        </w:rPr>
        <w:t>607- 611.</w:t>
      </w:r>
    </w:p>
    <w:p>
      <w:pPr>
        <w:pStyle w:val="Default"/>
        <w:spacing w:line="480" w:lineRule="auto"/>
        <w:rPr>
          <w:rStyle w:val="Hyperlink.0"/>
        </w:rPr>
      </w:pPr>
      <w:r>
        <w:rPr>
          <w:rFonts w:ascii="Times New Roman" w:hAnsi="Times New Roman"/>
          <w:sz w:val="24"/>
          <w:szCs w:val="24"/>
          <w:u w:val="none"/>
          <w:rtl w:val="0"/>
          <w:lang w:val="en-US"/>
        </w:rPr>
        <w:t xml:space="preserve"> </w:t>
      </w:r>
      <w:r>
        <w:rPr>
          <w:rStyle w:val="Hyperlink.0"/>
        </w:rPr>
        <w:fldChar w:fldCharType="begin" w:fldLock="0"/>
      </w:r>
      <w:r>
        <w:rPr>
          <w:rStyle w:val="Hyperlink.0"/>
        </w:rPr>
        <w:instrText xml:space="preserve"> HYPERLINK "https://doaj-org.ezproxy.libraries.wright.edu/article/1790e52a8b064843acc34d2a4eb73e2e"</w:instrText>
      </w:r>
      <w:r>
        <w:rPr>
          <w:rStyle w:val="Hyperlink.0"/>
        </w:rPr>
        <w:fldChar w:fldCharType="separate" w:fldLock="0"/>
      </w:r>
      <w:r>
        <w:rPr>
          <w:rStyle w:val="Hyperlink.0"/>
          <w:rtl w:val="0"/>
          <w:lang w:val="en-US"/>
        </w:rPr>
        <w:t>https://doaj-org.ezproxy.libraries.wright.edu/article/1790e52a8b064843acc34d2a4eb73e2e</w:t>
      </w:r>
      <w:r>
        <w:rPr/>
        <w:fldChar w:fldCharType="end" w:fldLock="0"/>
      </w:r>
      <w:r>
        <w:rPr>
          <w:rStyle w:val="None"/>
          <w:rFonts w:ascii="Times New Roman" w:hAnsi="Times New Roman"/>
          <w:color w:val="424242"/>
          <w:sz w:val="24"/>
          <w:szCs w:val="24"/>
          <w:u w:val="none" w:color="424242"/>
          <w:rtl w:val="0"/>
          <w:lang w:val="en-US"/>
        </w:rPr>
        <w:t xml:space="preserve"> </w:t>
      </w:r>
    </w:p>
    <w:p>
      <w:pPr>
        <w:pStyle w:val="Default"/>
        <w:spacing w:line="480" w:lineRule="auto"/>
        <w:rPr>
          <w:rStyle w:val="None"/>
          <w:rFonts w:ascii="Times New Roman" w:cs="Times New Roman" w:hAnsi="Times New Roman" w:eastAsia="Times New Roman"/>
          <w:sz w:val="24"/>
          <w:szCs w:val="24"/>
          <w:u w:val="none"/>
        </w:rPr>
      </w:pPr>
      <w:r>
        <w:rPr>
          <w:rStyle w:val="None"/>
          <w:rFonts w:ascii="Times New Roman" w:hAnsi="Times New Roman"/>
          <w:sz w:val="24"/>
          <w:szCs w:val="24"/>
          <w:u w:val="none"/>
          <w:rtl w:val="0"/>
          <w:lang w:val="en-US"/>
        </w:rPr>
        <w:t xml:space="preserve">Hodges, G. C. (2005). Creativity in education. </w:t>
      </w:r>
      <w:r>
        <w:rPr>
          <w:rStyle w:val="None"/>
          <w:rFonts w:ascii="Times New Roman" w:hAnsi="Times New Roman"/>
          <w:i w:val="1"/>
          <w:iCs w:val="1"/>
          <w:sz w:val="24"/>
          <w:szCs w:val="24"/>
          <w:u w:val="none"/>
          <w:rtl w:val="0"/>
          <w:lang w:val="en-US"/>
        </w:rPr>
        <w:t>English in Education</w:t>
      </w:r>
      <w:r>
        <w:rPr>
          <w:rStyle w:val="None"/>
          <w:rFonts w:ascii="Times New Roman" w:hAnsi="Times New Roman"/>
          <w:sz w:val="24"/>
          <w:szCs w:val="24"/>
          <w:u w:val="none"/>
          <w:rtl w:val="0"/>
          <w:lang w:val="en-US"/>
        </w:rPr>
        <w:t>, 39(3), 47-61.</w:t>
      </w:r>
    </w:p>
    <w:p>
      <w:pPr>
        <w:pStyle w:val="Default"/>
        <w:spacing w:line="480" w:lineRule="auto"/>
        <w:rPr>
          <w:rStyle w:val="None"/>
          <w:rFonts w:ascii="Times New Roman" w:cs="Times New Roman" w:hAnsi="Times New Roman" w:eastAsia="Times New Roman"/>
          <w:sz w:val="24"/>
          <w:szCs w:val="24"/>
          <w:u w:val="none"/>
        </w:rPr>
      </w:pPr>
      <w:r>
        <w:rPr>
          <w:rStyle w:val="None"/>
          <w:rFonts w:ascii="Times New Roman" w:cs="Times New Roman" w:hAnsi="Times New Roman" w:eastAsia="Times New Roman"/>
          <w:sz w:val="24"/>
          <w:szCs w:val="24"/>
          <w:u w:val="none"/>
          <w:rtl w:val="0"/>
        </w:rPr>
        <w:tab/>
        <w:t xml:space="preserve"> </w:t>
      </w:r>
      <w:r>
        <w:rPr>
          <w:rStyle w:val="Hyperlink.0"/>
        </w:rPr>
        <w:fldChar w:fldCharType="begin" w:fldLock="0"/>
      </w:r>
      <w:r>
        <w:rPr>
          <w:rStyle w:val="Hyperlink.0"/>
        </w:rPr>
        <w:instrText xml:space="preserve"> HYPERLINK "http://ezproxy.libraries.wright.edu/login?url=https://search.ebscohost.com/login.aspx?direct=true&amp;db=lkh&amp;AN=18821566&amp;site=eds-live"</w:instrText>
      </w:r>
      <w:r>
        <w:rPr>
          <w:rStyle w:val="Hyperlink.0"/>
        </w:rPr>
        <w:fldChar w:fldCharType="separate" w:fldLock="0"/>
      </w:r>
      <w:r>
        <w:rPr>
          <w:rStyle w:val="Hyperlink.0"/>
          <w:rtl w:val="0"/>
          <w:lang w:val="en-US"/>
        </w:rPr>
        <w:t>http://ezproxy.libraries.wright.edu/login?url=https://search.ebscohost.com/login.aspx?direct=true&amp;db=lkh&amp;AN=18821566&amp;site=eds-live</w:t>
      </w:r>
      <w:r>
        <w:rPr/>
        <w:fldChar w:fldCharType="end" w:fldLock="0"/>
      </w:r>
    </w:p>
    <w:p>
      <w:pPr>
        <w:pStyle w:val="Default"/>
        <w:spacing w:line="480" w:lineRule="auto"/>
        <w:ind w:firstLine="720"/>
      </w:pPr>
      <w:r>
        <w:rPr>
          <w:rStyle w:val="None"/>
          <w:rFonts w:ascii="Times New Roman" w:hAnsi="Times New Roman"/>
          <w:sz w:val="24"/>
          <w:szCs w:val="24"/>
          <w:rtl w:val="0"/>
          <w:lang w:val="en-US"/>
        </w:rPr>
        <w:t xml:space="preserve"> R., &amp; Gibson, R. (2015). Creative teaching or teaching creatively? Using creative arts strategies in preservice teacher education.</w:t>
      </w:r>
      <w:r>
        <w:rPr>
          <w:rStyle w:val="None"/>
          <w:rFonts w:ascii="Times New Roman" w:hAnsi="Times New Roman" w:hint="default"/>
          <w:sz w:val="24"/>
          <w:szCs w:val="24"/>
          <w:rtl w:val="0"/>
          <w:lang w:val="en-US"/>
        </w:rPr>
        <w:t> </w:t>
      </w:r>
      <w:r>
        <w:rPr>
          <w:rStyle w:val="None"/>
          <w:rFonts w:ascii="Times New Roman" w:hAnsi="Times New Roman"/>
          <w:i w:val="1"/>
          <w:iCs w:val="1"/>
          <w:sz w:val="24"/>
          <w:szCs w:val="24"/>
          <w:rtl w:val="0"/>
          <w:lang w:val="en-US"/>
        </w:rPr>
        <w:t>Waikato Journal of Education</w:t>
      </w:r>
      <w:r>
        <w:rPr>
          <w:rStyle w:val="None"/>
          <w:rFonts w:ascii="Times New Roman" w:hAnsi="Times New Roman"/>
          <w:sz w:val="24"/>
          <w:szCs w:val="24"/>
          <w:rtl w:val="0"/>
          <w:lang w:val="en-US"/>
        </w:rPr>
        <w:t>,</w:t>
      </w:r>
      <w:r>
        <w:rPr>
          <w:rStyle w:val="None"/>
          <w:rFonts w:ascii="Times New Roman" w:hAnsi="Times New Roman" w:hint="default"/>
          <w:sz w:val="24"/>
          <w:szCs w:val="24"/>
          <w:rtl w:val="0"/>
          <w:lang w:val="en-US"/>
        </w:rPr>
        <w:t> </w:t>
      </w:r>
      <w:r>
        <w:rPr>
          <w:rStyle w:val="None"/>
          <w:rFonts w:ascii="Times New Roman" w:hAnsi="Times New Roman"/>
          <w:i w:val="1"/>
          <w:iCs w:val="1"/>
          <w:sz w:val="24"/>
          <w:szCs w:val="24"/>
          <w:rtl w:val="0"/>
          <w:lang w:val="en-US"/>
        </w:rPr>
        <w:t>20</w:t>
      </w:r>
      <w:r>
        <w:rPr>
          <w:rStyle w:val="None"/>
          <w:rFonts w:ascii="Times New Roman" w:hAnsi="Times New Roman"/>
          <w:sz w:val="24"/>
          <w:szCs w:val="24"/>
          <w:rtl w:val="0"/>
          <w:lang w:val="en-US"/>
        </w:rPr>
        <w:t>(3).</w:t>
      </w:r>
      <w:r>
        <w:rPr>
          <w:rtl w:val="0"/>
          <w:lang w:val="en-US"/>
        </w:rPr>
        <w:t xml:space="preserve">Leung, L., &amp; Bentley, N. (2017). Producing Leisured Laborers: Developing Higher Education Courses for </w:t>
      </w:r>
      <w:r>
        <w:tab/>
      </w:r>
      <w:r>
        <w:rPr>
          <w:rtl w:val="0"/>
          <w:lang w:val="en-US"/>
        </w:rPr>
        <w:t xml:space="preserve">the Digital Creative Industries. </w:t>
      </w:r>
      <w:r>
        <w:rPr>
          <w:rStyle w:val="None"/>
          <w:i w:val="1"/>
          <w:iCs w:val="1"/>
          <w:rtl w:val="0"/>
          <w:lang w:val="en-US"/>
        </w:rPr>
        <w:t>Journal of Arts Management, Law &amp; Society</w:t>
      </w:r>
      <w:r>
        <w:rPr>
          <w:rtl w:val="0"/>
          <w:lang w:val="en-US"/>
        </w:rPr>
        <w:t xml:space="preserve">, </w:t>
      </w:r>
      <w:r>
        <w:rPr>
          <w:rStyle w:val="None"/>
          <w:i w:val="1"/>
          <w:iCs w:val="1"/>
          <w:rtl w:val="0"/>
          <w:lang w:val="en-US"/>
        </w:rPr>
        <w:t>47</w:t>
      </w:r>
      <w:r>
        <w:rPr>
          <w:rtl w:val="0"/>
          <w:lang w:val="en-US"/>
        </w:rPr>
        <w:t>(2), 148</w:t>
      </w:r>
      <w:r>
        <w:rPr>
          <w:rtl w:val="0"/>
          <w:lang w:val="en-US"/>
        </w:rPr>
        <w:t>–</w:t>
      </w:r>
      <w:r>
        <w:rPr>
          <w:rtl w:val="0"/>
          <w:lang w:val="en-US"/>
        </w:rPr>
        <w:t>160.</w:t>
      </w:r>
    </w:p>
    <w:p>
      <w:pPr>
        <w:pStyle w:val="Default"/>
        <w:spacing w:line="480" w:lineRule="auto"/>
        <w:ind w:firstLine="720"/>
      </w:pPr>
      <w:r>
        <w:rPr>
          <w:rtl w:val="0"/>
          <w:lang w:val="en-US"/>
        </w:rPr>
        <w:t xml:space="preserve"> http://ezproxy.libraries.wright.edu/login?url=https://search.ebscohost.com/login.aspx?direct=true&amp;db=lgh&amp;AN=122763289&amp;site=eds-live</w:t>
      </w:r>
    </w:p>
    <w:sectPr>
      <w:headerReference w:type="default" r:id="rId4"/>
      <w:headerReference w:type="first" r:id="rId5"/>
      <w:footerReference w:type="default" r:id="rId6"/>
      <w:footerReference w:type="first" r:id="rId7"/>
      <w:pgSz w:w="11900" w:h="16840" w:orient="portrait"/>
      <w:pgMar w:top="1135" w:right="1440" w:bottom="1440" w:left="1440" w:header="708" w:footer="708"/>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Body A"/>
    </w:pPr>
    <w:r>
      <w:rPr>
        <w:rFonts w:ascii="Times New Roman" w:hAnsi="Times New Roman"/>
        <w:color w:val="222222"/>
        <w:u w:color="222222"/>
        <w:shd w:val="clear" w:color="auto" w:fill="ffffff"/>
        <w:rtl w:val="0"/>
        <w:lang w:val="en-US"/>
      </w:rPr>
      <w:t xml:space="preserve">CREATIVITY </w:t>
    </w:r>
    <w:r>
      <w:rPr>
        <w:rFonts w:ascii="Times New Roman" w:hAnsi="Times New Roman"/>
        <w:color w:val="222222"/>
        <w:u w:color="222222"/>
        <w:shd w:val="clear" w:color="auto" w:fill="ffffff"/>
        <w:rtl w:val="0"/>
        <w:lang w:val="en-US"/>
      </w:rPr>
      <w:t>in</w:t>
    </w:r>
    <w:r>
      <w:rPr>
        <w:rFonts w:ascii="Times New Roman" w:hAnsi="Times New Roman"/>
        <w:color w:val="222222"/>
        <w:u w:color="222222"/>
        <w:shd w:val="clear" w:color="auto" w:fill="ffffff"/>
        <w:rtl w:val="0"/>
        <w:lang w:val="en-US"/>
      </w:rPr>
      <w:t xml:space="preserve"> ECUCATION </w:t>
    </w:r>
    <w:r>
      <w:rPr>
        <w:rFonts w:ascii="Times New Roman" w:cs="Times New Roman" w:hAnsi="Times New Roman" w:eastAsia="Times New Roman"/>
        <w:color w:val="222222"/>
        <w:sz w:val="24"/>
        <w:szCs w:val="24"/>
        <w:u w:color="222222"/>
        <w:shd w:val="clear" w:color="auto" w:fill="ffffff"/>
      </w:rPr>
      <w:tab/>
      <w:tab/>
      <w:tab/>
      <w:tab/>
      <w:tab/>
      <w:tab/>
      <w:tab/>
    </w:r>
    <w:r>
      <w:rPr>
        <w:rFonts w:ascii="Times New Roman" w:cs="Times New Roman" w:hAnsi="Times New Roman" w:eastAsia="Times New Roman"/>
        <w:sz w:val="24"/>
        <w:szCs w:val="24"/>
      </w:rPr>
      <w:tab/>
    </w:r>
    <w:r>
      <w:rPr>
        <w:rFonts w:ascii="Times New Roman" w:cs="Times New Roman" w:hAnsi="Times New Roman" w:eastAsia="Times New Roman"/>
        <w:sz w:val="24"/>
        <w:szCs w:val="24"/>
        <w:rtl w:val="0"/>
      </w:rPr>
      <w:fldChar w:fldCharType="begin" w:fldLock="0"/>
    </w:r>
    <w:r>
      <w:rPr>
        <w:rFonts w:ascii="Times New Roman" w:cs="Times New Roman" w:hAnsi="Times New Roman" w:eastAsia="Times New Roman"/>
        <w:sz w:val="24"/>
        <w:szCs w:val="24"/>
        <w:rtl w:val="0"/>
      </w:rPr>
      <w:instrText xml:space="preserve"> PAGE </w:instrText>
    </w:r>
    <w:r>
      <w:rPr>
        <w:rFonts w:ascii="Times New Roman" w:cs="Times New Roman" w:hAnsi="Times New Roman" w:eastAsia="Times New Roman"/>
        <w:sz w:val="24"/>
        <w:szCs w:val="24"/>
        <w:rtl w:val="0"/>
      </w:rPr>
      <w:fldChar w:fldCharType="separate" w:fldLock="0"/>
    </w:r>
    <w:r>
      <w:rPr>
        <w:rFonts w:ascii="Times New Roman" w:cs="Times New Roman" w:hAnsi="Times New Roman" w:eastAsia="Times New Roman"/>
        <w:sz w:val="24"/>
        <w:szCs w:val="24"/>
        <w:rtl w:val="0"/>
      </w:rPr>
      <w:t>4</w:t>
    </w:r>
    <w:r>
      <w:rPr>
        <w:rFonts w:ascii="Times New Roman" w:cs="Times New Roman" w:hAnsi="Times New Roman" w:eastAsia="Times New Roman"/>
        <w:sz w:val="24"/>
        <w:szCs w:val="24"/>
        <w:rtl w:val="0"/>
      </w:rPr>
      <w:fldChar w:fldCharType="end" w:fldLock="0"/>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Body A A"/>
      <w:spacing w:line="480" w:lineRule="auto"/>
    </w:pPr>
    <w:r>
      <w:rPr>
        <w:rFonts w:ascii="Times New Roman" w:hAnsi="Times New Roman"/>
        <w:rtl w:val="0"/>
        <w:lang w:val="en-US"/>
      </w:rPr>
      <w:t>Running head:</w:t>
    </w:r>
    <w:r>
      <w:rPr>
        <w:rFonts w:ascii="Times New Roman" w:hAnsi="Times New Roman"/>
        <w:shd w:val="clear" w:color="auto" w:fill="ffffff"/>
        <w:rtl w:val="0"/>
        <w:lang w:val="en-US"/>
      </w:rPr>
      <w:t xml:space="preserve"> </w:t>
    </w:r>
    <w:r>
      <w:rPr>
        <w:rFonts w:ascii="Times New Roman" w:hAnsi="Times New Roman"/>
        <w:color w:val="222222"/>
        <w:u w:color="222222"/>
        <w:shd w:val="clear" w:color="auto" w:fill="ffffff"/>
        <w:rtl w:val="0"/>
        <w:lang w:val="en-US"/>
      </w:rPr>
      <w:t>CREATIVITY IN EDUCATION</w:t>
    </w:r>
    <w:r>
      <w:rPr>
        <w:rFonts w:ascii="Times New Roman" w:cs="Times New Roman" w:hAnsi="Times New Roman" w:eastAsia="Times New Roman"/>
        <w:color w:val="222222"/>
        <w:u w:color="222222"/>
        <w:shd w:val="clear" w:color="auto" w:fill="ffffff"/>
      </w:rPr>
      <w:tab/>
      <w:tab/>
      <w:tab/>
      <w:tab/>
      <w:tab/>
      <w:tab/>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A">
    <w:name w:val="Body A"/>
    <w:next w:val="Body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A">
    <w:name w:val="Body A A"/>
    <w:next w:val="Body A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character" w:styleId="None">
    <w:name w:val="None"/>
  </w:style>
  <w:style w:type="character" w:styleId="Hyperlink.0">
    <w:name w:val="Hyperlink.0"/>
    <w:basedOn w:val="None"/>
    <w:next w:val="Hyperlink.0"/>
    <w:rPr>
      <w:rFonts w:ascii="Times New Roman" w:cs="Times New Roman" w:hAnsi="Times New Roman" w:eastAsia="Times New Roman"/>
      <w:sz w:val="24"/>
      <w:szCs w:val="24"/>
      <w:u w:val="singl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